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УТВЕРЖДЕНЫ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Наблюдательным советом Фонда развития Алтайского края (протокол от</w:t>
      </w:r>
      <w:r>
        <w:rPr>
          <w:rFonts w:ascii="Times New Roman" w:eastAsia="Arial" w:hAnsi="Times New Roman" w:cs="Times New Roman"/>
          <w:sz w:val="28"/>
          <w:szCs w:val="28"/>
        </w:rPr>
        <w:t xml:space="preserve"> 08.07.2020 </w:t>
      </w:r>
      <w:r w:rsidRPr="00604DB0">
        <w:rPr>
          <w:rFonts w:ascii="Times New Roman" w:eastAsia="Arial" w:hAnsi="Times New Roman" w:cs="Times New Roman"/>
          <w:sz w:val="28"/>
          <w:szCs w:val="28"/>
        </w:rPr>
        <w:t>№</w:t>
      </w:r>
      <w:r>
        <w:rPr>
          <w:rFonts w:ascii="Times New Roman" w:eastAsia="Arial" w:hAnsi="Times New Roman" w:cs="Times New Roman"/>
          <w:sz w:val="28"/>
          <w:szCs w:val="28"/>
        </w:rPr>
        <w:t>20</w:t>
      </w:r>
      <w:r w:rsidRPr="00604DB0">
        <w:rPr>
          <w:rFonts w:ascii="Times New Roman" w:eastAsia="Arial" w:hAnsi="Times New Roman" w:cs="Times New Roman"/>
          <w:sz w:val="28"/>
          <w:szCs w:val="28"/>
        </w:rPr>
        <w:t>)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4DB0">
        <w:rPr>
          <w:rFonts w:ascii="Times New Roman" w:eastAsia="Arial" w:hAnsi="Times New Roman" w:cs="Times New Roman"/>
          <w:b/>
          <w:sz w:val="28"/>
          <w:szCs w:val="28"/>
        </w:rPr>
        <w:t>КРИТЕРИИ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4DB0">
        <w:rPr>
          <w:rFonts w:ascii="Times New Roman" w:eastAsia="Arial" w:hAnsi="Times New Roman" w:cs="Times New Roman"/>
          <w:b/>
          <w:sz w:val="28"/>
          <w:szCs w:val="28"/>
        </w:rPr>
        <w:t>оценки устойчивости финансового положения юридических лиц и лизинговых компаний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1101"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Финансовое положение юридического лица/лизинговой компании может быть оценено как устойчивое для целей принятия в качестве Основного обеспечения поручительств/гарантий, если юридическое лицо/лизинговая компания не находится в процессе ликвидации/банкротства, имеет размер выручки от реализации за последний завершенный финансовый год или за последний отчётный период текущего финансового года не менее суммы займа и</w:t>
      </w:r>
      <w:bookmarkStart w:id="0" w:name="_GoBack"/>
      <w:bookmarkEnd w:id="0"/>
      <w:r w:rsidRPr="00604DB0">
        <w:rPr>
          <w:rFonts w:ascii="Times New Roman" w:eastAsia="Arial" w:hAnsi="Times New Roman" w:cs="Times New Roman"/>
          <w:sz w:val="28"/>
          <w:szCs w:val="28"/>
        </w:rPr>
        <w:t xml:space="preserve"> процентов, подлежащих уплате за весь период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 xml:space="preserve"> пользования займом, и относится к одной из следующих категорий:</w:t>
      </w:r>
    </w:p>
    <w:p w:rsidR="00604DB0" w:rsidRPr="00604DB0" w:rsidRDefault="00604DB0" w:rsidP="00604DB0">
      <w:pPr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after="0" w:line="240" w:lineRule="auto"/>
        <w:ind w:right="136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юридическое лицо/лизинговая компания и/или Группа лиц, в которую входит юридическое лицо/лизинговая компания, имеет долгосрочный рейтинг в национальной и/или иностранной валюте присвоенный одним из международных рейтинговых агентств (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04DB0">
        <w:rPr>
          <w:rFonts w:ascii="Times New Roman" w:eastAsia="Arial" w:hAnsi="Times New Roman" w:cs="Times New Roman"/>
          <w:sz w:val="28"/>
          <w:szCs w:val="28"/>
        </w:rPr>
        <w:t>&amp;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Global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Rating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Fitch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Ratings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Moody</w:t>
      </w:r>
      <w:r w:rsidRPr="00604DB0">
        <w:rPr>
          <w:rFonts w:ascii="Times New Roman" w:eastAsia="Arial" w:hAnsi="Times New Roman" w:cs="Times New Roman"/>
          <w:sz w:val="28"/>
          <w:szCs w:val="28"/>
        </w:rPr>
        <w:t>’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Investors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Service</w:t>
      </w:r>
      <w:r w:rsidRPr="00604DB0">
        <w:rPr>
          <w:rFonts w:ascii="Times New Roman" w:eastAsia="Arial" w:hAnsi="Times New Roman" w:cs="Times New Roman"/>
          <w:sz w:val="28"/>
          <w:szCs w:val="28"/>
        </w:rPr>
        <w:t>) не более чем на две ступени ниже суверенного рейтинга Российской Федерации.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 xml:space="preserve"> При наличии у юридического лица/лизинговой компании нескольких рейтингов используется </w:t>
      </w: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самый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 xml:space="preserve"> низкий из</w:t>
      </w:r>
      <w:r w:rsidRPr="00604DB0">
        <w:rPr>
          <w:rFonts w:ascii="Times New Roman" w:eastAsia="Arial" w:hAnsi="Times New Roman" w:cs="Times New Roman"/>
          <w:spacing w:val="-16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присвоенных.</w:t>
      </w:r>
    </w:p>
    <w:p w:rsidR="00604DB0" w:rsidRPr="00604DB0" w:rsidRDefault="00604DB0" w:rsidP="00604DB0">
      <w:pPr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after="0" w:line="240" w:lineRule="auto"/>
        <w:ind w:right="13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юридическое лицо/лизинговая компания и/или Группа лиц, в которую входит юридическое лицо/лизинговая компания, имеет кредитный рейтинг, присвоенный по национальной рейтинговой шкале рейтинговыми агентствами, сведения о которых внесены Банком России в реестр рейтинговых агентств, не ниже уровня, установленного Банком России. При наличии у юридического лица/лизинговой</w:t>
      </w:r>
      <w:r w:rsidRPr="00604DB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компании</w:t>
      </w:r>
      <w:r w:rsidRPr="00604DB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нескольких</w:t>
      </w:r>
      <w:r w:rsidRPr="00604DB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рейтингов</w:t>
      </w:r>
      <w:r w:rsidRPr="00604DB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используется</w:t>
      </w:r>
      <w:r w:rsidRPr="00604DB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самый</w:t>
      </w:r>
      <w:proofErr w:type="gramEnd"/>
      <w:r w:rsidRPr="00604DB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низкий</w:t>
      </w:r>
      <w:r w:rsidRPr="00604DB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из</w:t>
      </w:r>
      <w:r w:rsidRPr="00604DB0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присвоенных.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_bookmark16"/>
      <w:bookmarkEnd w:id="1"/>
      <w:r w:rsidRPr="00604DB0">
        <w:rPr>
          <w:rFonts w:ascii="Times New Roman" w:eastAsia="Arial" w:hAnsi="Times New Roman" w:cs="Times New Roman"/>
          <w:sz w:val="28"/>
          <w:szCs w:val="28"/>
        </w:rPr>
        <w:t>В целях применения критериев, указанных в пунктах 1 и 2, Группой лиц признается совокупность юридических лиц, соответствующих одному или нескольким из следующих признаков:</w:t>
      </w:r>
    </w:p>
    <w:p w:rsidR="00604DB0" w:rsidRPr="00604DB0" w:rsidRDefault="00604DB0" w:rsidP="00604DB0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40" w:lineRule="auto"/>
        <w:ind w:right="136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хозяйственное общество (товарищество, хозяйственное партнерство) и юридическое лицо, если такое юридическое лицо имеет в силу своего участия в этом хозяйственном обществе (товариществе, хозяйственном партнерстве) либо в соответствии с полномочиями, полученными, в том числе на основании письменного соглашения, от других лиц, более чем пятьдесят процентов общего количества голосов, приходящихся на голосующие акции (доли) в уставном (складочном) капитале</w:t>
      </w:r>
      <w:r w:rsidRPr="00604DB0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этого</w:t>
      </w:r>
      <w:r w:rsidRPr="00604DB0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хозяйственного</w:t>
      </w:r>
      <w:r w:rsidRPr="00604DB0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общества</w:t>
      </w:r>
      <w:r w:rsidRPr="00604DB0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(товарищества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>,</w:t>
      </w:r>
      <w:r w:rsidRPr="00604DB0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хозяйственного</w:t>
      </w:r>
      <w:r w:rsidRPr="00604DB0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lastRenderedPageBreak/>
        <w:t>партнерства);</w:t>
      </w:r>
    </w:p>
    <w:p w:rsidR="00604DB0" w:rsidRPr="00604DB0" w:rsidRDefault="00604DB0" w:rsidP="00604DB0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лица, каждое из которых по указанному выше признаку входит в группу с одним и тем же лицом,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а</w:t>
      </w:r>
      <w:r w:rsidRPr="00604DB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также</w:t>
      </w:r>
      <w:r w:rsidRPr="00604DB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другие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лица,</w:t>
      </w:r>
      <w:r w:rsidRPr="00604DB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входящие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с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любым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из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таких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лиц</w:t>
      </w:r>
      <w:r w:rsidRPr="00604DB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в</w:t>
      </w:r>
      <w:r w:rsidRPr="00604DB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группу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по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указанному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выше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признаку;</w:t>
      </w:r>
    </w:p>
    <w:p w:rsidR="00604DB0" w:rsidRPr="00604DB0" w:rsidRDefault="00604DB0" w:rsidP="00604DB0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40" w:lineRule="auto"/>
        <w:ind w:right="13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хозяйственное общество (товарищество, хозяйственное партнерство), юридические лица, которые по какому-либо из указанных выше признаков входят в группу лиц, если такие лица в силу своего совместного участия в этом хозяйственном обществе (товариществе, хозяйственном партнерстве) или в соответствии с полномочиями, полученными от других лиц, имеют более чем пятьдесят процентов общего количества голосов, приходящихся на голосующие акции (доли) в уставном (складочном) капитале этого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 xml:space="preserve"> хозяйственного общества (товарищества, хозяйственного партнерства).</w:t>
      </w:r>
    </w:p>
    <w:p w:rsidR="00604DB0" w:rsidRPr="00604DB0" w:rsidRDefault="00604DB0" w:rsidP="00604DB0">
      <w:pPr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after="0" w:line="240" w:lineRule="auto"/>
        <w:ind w:left="0" w:right="138" w:firstLine="82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юридическое лицо</w:t>
      </w:r>
      <w:r w:rsidRPr="00604DB0">
        <w:rPr>
          <w:rFonts w:ascii="Times New Roman" w:eastAsia="Arial" w:hAnsi="Times New Roman" w:cs="Times New Roman"/>
          <w:sz w:val="28"/>
          <w:szCs w:val="28"/>
          <w:vertAlign w:val="superscript"/>
        </w:rPr>
        <w:footnoteReference w:id="1"/>
      </w:r>
      <w:r w:rsidRPr="00604DB0">
        <w:rPr>
          <w:rFonts w:ascii="Times New Roman" w:eastAsia="Arial" w:hAnsi="Times New Roman" w:cs="Times New Roman"/>
          <w:sz w:val="28"/>
          <w:szCs w:val="28"/>
        </w:rPr>
        <w:t>, согласно бухгалтерской (финансовой) отчетности, подготовленной в соответствии с требованиями законодательства, в том числе консолидированной финансовой отчетности в случае, если ее составление предусмотрено требованиями федеральных законов, одновременно соответствует следующим требованиям</w:t>
      </w:r>
      <w:r w:rsidRPr="00604DB0">
        <w:rPr>
          <w:rFonts w:ascii="Times New Roman" w:eastAsia="Arial" w:hAnsi="Times New Roman" w:cs="Times New Roman"/>
          <w:spacing w:val="-2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(А-</w:t>
      </w:r>
      <w:proofErr w:type="gramStart"/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>):</w:t>
      </w:r>
    </w:p>
    <w:p w:rsidR="00604DB0" w:rsidRPr="00604DB0" w:rsidRDefault="00604DB0" w:rsidP="00604DB0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240" w:lineRule="auto"/>
        <w:ind w:left="0" w:firstLine="82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выполнение показателя Чистый долг/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EBITDA</w:t>
      </w:r>
      <w:r w:rsidRPr="00604DB0">
        <w:rPr>
          <w:rFonts w:ascii="Times New Roman" w:eastAsia="Arial" w:hAnsi="Times New Roman" w:cs="Times New Roman"/>
          <w:position w:val="8"/>
          <w:sz w:val="28"/>
          <w:szCs w:val="28"/>
          <w:vertAlign w:val="superscript"/>
        </w:rPr>
        <w:footnoteReference w:id="2"/>
      </w:r>
      <w:r w:rsidRPr="00604DB0">
        <w:rPr>
          <w:rFonts w:ascii="Times New Roman" w:eastAsia="Arial" w:hAnsi="Times New Roman" w:cs="Times New Roman"/>
          <w:position w:val="8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– не более 6 за два последних</w:t>
      </w:r>
      <w:r w:rsidRPr="00604DB0">
        <w:rPr>
          <w:rFonts w:ascii="Times New Roman" w:eastAsia="Arial" w:hAnsi="Times New Roman" w:cs="Times New Roman"/>
          <w:spacing w:val="-37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квартала;</w:t>
      </w:r>
    </w:p>
    <w:p w:rsidR="00604DB0" w:rsidRPr="00604DB0" w:rsidRDefault="00604DB0" w:rsidP="00604DB0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0" w:right="137" w:firstLine="82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отсутствие существенных (более 15%) отрицательных изменений в динамике следующих показателей: выручка от реализации, прибыль от продаж, валюта</w:t>
      </w:r>
      <w:r w:rsidRPr="00604DB0">
        <w:rPr>
          <w:rFonts w:ascii="Times New Roman" w:eastAsia="Arial" w:hAnsi="Times New Roman" w:cs="Times New Roman"/>
          <w:spacing w:val="-24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баланса</w:t>
      </w:r>
      <w:r w:rsidRPr="00604DB0">
        <w:rPr>
          <w:rFonts w:ascii="Times New Roman" w:eastAsia="Arial" w:hAnsi="Times New Roman" w:cs="Times New Roman"/>
          <w:sz w:val="28"/>
          <w:szCs w:val="28"/>
          <w:vertAlign w:val="superscript"/>
        </w:rPr>
        <w:footnoteReference w:id="3"/>
      </w:r>
    </w:p>
    <w:p w:rsidR="00604DB0" w:rsidRPr="00604DB0" w:rsidRDefault="00604DB0" w:rsidP="00604DB0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0" w:right="130" w:firstLine="82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 xml:space="preserve">Бухгалтерская отчетность юридического лица за последний завершённый финансовый год должна сопровождаться аудиторским заключением (в </w:t>
      </w: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случаях</w:t>
      </w:r>
      <w:proofErr w:type="gramEnd"/>
      <w:r w:rsidRPr="00604DB0">
        <w:rPr>
          <w:rFonts w:ascii="Times New Roman" w:eastAsia="Arial" w:hAnsi="Times New Roman" w:cs="Times New Roman"/>
          <w:sz w:val="28"/>
          <w:szCs w:val="28"/>
        </w:rPr>
        <w:t xml:space="preserve"> если обязательный аудит бухгалтерской отчётности предусмотрен законодательством</w:t>
      </w:r>
      <w:r w:rsidRPr="00604DB0">
        <w:rPr>
          <w:rFonts w:ascii="Times New Roman" w:eastAsia="Arial" w:hAnsi="Times New Roman" w:cs="Times New Roman"/>
          <w:sz w:val="28"/>
          <w:szCs w:val="28"/>
          <w:vertAlign w:val="superscript"/>
        </w:rPr>
        <w:footnoteReference w:id="4"/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 либо аудит был проведен по инициативе юридического лица). Аудиторское заключение не должно содержать отрицательного мнения аудитора или отказа аудитора от выражения мнения. Если на момент представления бухгалтерской отчетности за </w:t>
      </w:r>
      <w:r w:rsidRPr="00604DB0">
        <w:rPr>
          <w:rFonts w:ascii="Times New Roman" w:eastAsia="Arial" w:hAnsi="Times New Roman" w:cs="Times New Roman"/>
          <w:sz w:val="28"/>
          <w:szCs w:val="28"/>
        </w:rPr>
        <w:lastRenderedPageBreak/>
        <w:t>последний завершённый финансовый год аудиторское заключение отсутствует, оно должно быть представлено в Фонд после его составления в срок не позднее 10 рабочих дней со дня, следующего за датой  аудиторского</w:t>
      </w:r>
      <w:r w:rsidRPr="00604DB0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заключения.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114" w:firstLine="82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годом, а также последнего отчётного периода текущего финансового года с  аналогичным периодом предыдущего года. 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– с предшествующим ему отчетным</w:t>
      </w:r>
      <w:r w:rsidRPr="00604DB0">
        <w:rPr>
          <w:rFonts w:ascii="Times New Roman" w:eastAsia="Arial" w:hAnsi="Times New Roman" w:cs="Times New Roman"/>
          <w:spacing w:val="-19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периодом.</w:t>
      </w:r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136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Для целей принятия в качестве Основного обеспечения поручительства/гарантии юридическое лицо признается соответствующим требованию «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» при условии, что настоящее требование выполняется в отношении динамики шести анализируемых значений показателей (выручка от реализации, прибыль от продаж и валюта баланса по итогам года, а также по итогам последнего отчетного периода). </w:t>
      </w: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В случае если за последний завершенный финансовый год или за последний отчётный период текущего финансового года размер выручки юридического лица от реализации превышает сумму займа как минимум в два раза, то юридическое лицо признается соответствующим требованию «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604DB0">
        <w:rPr>
          <w:rFonts w:ascii="Times New Roman" w:eastAsia="Arial" w:hAnsi="Times New Roman" w:cs="Times New Roman"/>
          <w:sz w:val="28"/>
          <w:szCs w:val="28"/>
        </w:rPr>
        <w:t>» при условии, что настоящее требование выполняется в</w:t>
      </w:r>
      <w:r w:rsidRPr="00604DB0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отношении динамики не менее чем пяти анализируемых значений показателей из шести перечисленных выше.</w:t>
      </w:r>
      <w:proofErr w:type="gramEnd"/>
    </w:p>
    <w:p w:rsidR="00604DB0" w:rsidRPr="00604DB0" w:rsidRDefault="00604DB0" w:rsidP="00604DB0">
      <w:pPr>
        <w:widowControl w:val="0"/>
        <w:autoSpaceDE w:val="0"/>
        <w:autoSpaceDN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DB0">
        <w:rPr>
          <w:rFonts w:ascii="Times New Roman" w:eastAsia="Arial" w:hAnsi="Times New Roman" w:cs="Times New Roman"/>
          <w:sz w:val="28"/>
          <w:szCs w:val="28"/>
        </w:rPr>
        <w:t>Для целей мониторинга финансового состояния юридических лиц, предоставивших Обеспечение Фонду, в течение срока действия договора займа юридическое лицо признается соответствующим требованию «</w:t>
      </w:r>
      <w:r w:rsidRPr="00604DB0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604DB0">
        <w:rPr>
          <w:rFonts w:ascii="Times New Roman" w:eastAsia="Arial" w:hAnsi="Times New Roman" w:cs="Times New Roman"/>
          <w:sz w:val="28"/>
          <w:szCs w:val="28"/>
        </w:rPr>
        <w:t>» при условии, что оно выполняется в отношении динамики не менее чем четырех анализируемых значений показателей из шести перечисленных выше.</w:t>
      </w:r>
    </w:p>
    <w:p w:rsidR="00604DB0" w:rsidRPr="00604DB0" w:rsidRDefault="00604DB0" w:rsidP="00604DB0">
      <w:pPr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after="0" w:line="240" w:lineRule="auto"/>
        <w:ind w:right="136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04DB0">
        <w:rPr>
          <w:rFonts w:ascii="Times New Roman" w:eastAsia="Arial" w:hAnsi="Times New Roman" w:cs="Times New Roman"/>
          <w:sz w:val="28"/>
          <w:szCs w:val="28"/>
        </w:rPr>
        <w:t>юридическое лицо является институтом развития, включенным в перечень институтов развития, утверждаемый Наблюдательным советом Фонда, которым может быть передано в последующих за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л</w:t>
      </w:r>
      <w:r w:rsidRPr="00604DB0">
        <w:rPr>
          <w:rFonts w:ascii="Times New Roman" w:eastAsia="Arial" w:hAnsi="Times New Roman" w:cs="Times New Roman"/>
          <w:sz w:val="28"/>
          <w:szCs w:val="28"/>
        </w:rPr>
        <w:t>ог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>и</w:t>
      </w:r>
      <w:r w:rsidRPr="00604DB0">
        <w:rPr>
          <w:rFonts w:ascii="Times New Roman" w:eastAsia="Arial" w:hAnsi="Times New Roman" w:cs="Times New Roman"/>
          <w:sz w:val="28"/>
          <w:szCs w:val="28"/>
        </w:rPr>
        <w:t>му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щ</w:t>
      </w:r>
      <w:r w:rsidRPr="00604DB0">
        <w:rPr>
          <w:rFonts w:ascii="Times New Roman" w:eastAsia="Arial" w:hAnsi="Times New Roman" w:cs="Times New Roman"/>
          <w:sz w:val="28"/>
          <w:szCs w:val="28"/>
        </w:rPr>
        <w:t>ест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в</w:t>
      </w:r>
      <w:r w:rsidRPr="00604DB0">
        <w:rPr>
          <w:rFonts w:ascii="Times New Roman" w:eastAsia="Arial" w:hAnsi="Times New Roman" w:cs="Times New Roman"/>
          <w:sz w:val="28"/>
          <w:szCs w:val="28"/>
        </w:rPr>
        <w:t>о,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явля</w:t>
      </w:r>
      <w:r w:rsidRPr="00604DB0">
        <w:rPr>
          <w:rFonts w:ascii="Times New Roman" w:eastAsia="Arial" w:hAnsi="Times New Roman" w:cs="Times New Roman"/>
          <w:sz w:val="28"/>
          <w:szCs w:val="28"/>
        </w:rPr>
        <w:t>ю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щ</w:t>
      </w:r>
      <w:r w:rsidRPr="00604DB0">
        <w:rPr>
          <w:rFonts w:ascii="Times New Roman" w:eastAsia="Arial" w:hAnsi="Times New Roman" w:cs="Times New Roman"/>
          <w:sz w:val="28"/>
          <w:szCs w:val="28"/>
        </w:rPr>
        <w:t>ее Ос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Pr="00604DB0">
        <w:rPr>
          <w:rFonts w:ascii="Times New Roman" w:eastAsia="Arial" w:hAnsi="Times New Roman" w:cs="Times New Roman"/>
          <w:sz w:val="28"/>
          <w:szCs w:val="28"/>
        </w:rPr>
        <w:t>о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вн</w:t>
      </w:r>
      <w:r w:rsidRPr="00604DB0">
        <w:rPr>
          <w:rFonts w:ascii="Times New Roman" w:eastAsia="Arial" w:hAnsi="Times New Roman" w:cs="Times New Roman"/>
          <w:sz w:val="28"/>
          <w:szCs w:val="28"/>
        </w:rPr>
        <w:t>ым о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>б</w:t>
      </w:r>
      <w:r w:rsidRPr="00604DB0">
        <w:rPr>
          <w:rFonts w:ascii="Times New Roman" w:eastAsia="Arial" w:hAnsi="Times New Roman" w:cs="Times New Roman"/>
          <w:sz w:val="28"/>
          <w:szCs w:val="28"/>
        </w:rPr>
        <w:t>ес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п</w:t>
      </w:r>
      <w:r w:rsidRPr="00604DB0">
        <w:rPr>
          <w:rFonts w:ascii="Times New Roman" w:eastAsia="Arial" w:hAnsi="Times New Roman" w:cs="Times New Roman"/>
          <w:sz w:val="28"/>
          <w:szCs w:val="28"/>
        </w:rPr>
        <w:t>е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ч</w:t>
      </w:r>
      <w:r w:rsidRPr="00604DB0">
        <w:rPr>
          <w:rFonts w:ascii="Times New Roman" w:eastAsia="Arial" w:hAnsi="Times New Roman" w:cs="Times New Roman"/>
          <w:sz w:val="28"/>
          <w:szCs w:val="28"/>
        </w:rPr>
        <w:t>е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>и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ем 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п</w:t>
      </w:r>
      <w:r w:rsidRPr="00604DB0">
        <w:rPr>
          <w:rFonts w:ascii="Times New Roman" w:eastAsia="Arial" w:hAnsi="Times New Roman" w:cs="Times New Roman"/>
          <w:sz w:val="28"/>
          <w:szCs w:val="28"/>
        </w:rPr>
        <w:t>о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за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>й</w:t>
      </w:r>
      <w:r w:rsidRPr="00604DB0">
        <w:rPr>
          <w:rFonts w:ascii="Times New Roman" w:eastAsia="Arial" w:hAnsi="Times New Roman" w:cs="Times New Roman"/>
          <w:sz w:val="28"/>
          <w:szCs w:val="28"/>
        </w:rPr>
        <w:t>ма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>м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, и 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(</w:t>
      </w:r>
      <w:r w:rsidRPr="00604DB0">
        <w:rPr>
          <w:rFonts w:ascii="Times New Roman" w:eastAsia="Arial" w:hAnsi="Times New Roman" w:cs="Times New Roman"/>
          <w:sz w:val="28"/>
          <w:szCs w:val="28"/>
        </w:rPr>
        <w:t>и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л</w:t>
      </w:r>
      <w:r w:rsidRPr="00604DB0">
        <w:rPr>
          <w:rFonts w:ascii="Times New Roman" w:eastAsia="Arial" w:hAnsi="Times New Roman" w:cs="Times New Roman"/>
          <w:sz w:val="28"/>
          <w:szCs w:val="28"/>
        </w:rPr>
        <w:t>и)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е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г</w:t>
      </w:r>
      <w:r w:rsidRPr="00604DB0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Pr="00604DB0">
        <w:rPr>
          <w:rFonts w:ascii="Times New Roman" w:eastAsia="Arial" w:hAnsi="Times New Roman" w:cs="Times New Roman"/>
          <w:spacing w:val="-3"/>
          <w:sz w:val="28"/>
          <w:szCs w:val="28"/>
        </w:rPr>
        <w:t>д</w:t>
      </w:r>
      <w:r w:rsidRPr="00604DB0">
        <w:rPr>
          <w:rFonts w:ascii="Times New Roman" w:eastAsia="Arial" w:hAnsi="Times New Roman" w:cs="Times New Roman"/>
          <w:sz w:val="28"/>
          <w:szCs w:val="28"/>
        </w:rPr>
        <w:t>о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ч</w:t>
      </w:r>
      <w:r w:rsidRPr="00604DB0">
        <w:rPr>
          <w:rFonts w:ascii="Times New Roman" w:eastAsia="Arial" w:hAnsi="Times New Roman" w:cs="Times New Roman"/>
          <w:sz w:val="28"/>
          <w:szCs w:val="28"/>
        </w:rPr>
        <w:t>ер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Pr="00604DB0">
        <w:rPr>
          <w:rFonts w:ascii="Times New Roman" w:eastAsia="Arial" w:hAnsi="Times New Roman" w:cs="Times New Roman"/>
          <w:sz w:val="28"/>
          <w:szCs w:val="28"/>
        </w:rPr>
        <w:t>им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604DB0">
        <w:rPr>
          <w:rFonts w:ascii="Times New Roman" w:eastAsia="Arial" w:hAnsi="Times New Roman" w:cs="Times New Roman"/>
          <w:sz w:val="28"/>
          <w:szCs w:val="28"/>
        </w:rPr>
        <w:t>о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бщ</w:t>
      </w:r>
      <w:r w:rsidRPr="00604DB0">
        <w:rPr>
          <w:rFonts w:ascii="Times New Roman" w:eastAsia="Arial" w:hAnsi="Times New Roman" w:cs="Times New Roman"/>
          <w:sz w:val="28"/>
          <w:szCs w:val="28"/>
        </w:rPr>
        <w:t>ест</w:t>
      </w:r>
      <w:r w:rsidRPr="00604DB0">
        <w:rPr>
          <w:rFonts w:ascii="Times New Roman" w:eastAsia="Arial" w:hAnsi="Times New Roman" w:cs="Times New Roman"/>
          <w:spacing w:val="-1"/>
          <w:sz w:val="28"/>
          <w:szCs w:val="28"/>
        </w:rPr>
        <w:t>в</w:t>
      </w:r>
      <w:r w:rsidRPr="00604DB0">
        <w:rPr>
          <w:rFonts w:ascii="Times New Roman" w:eastAsia="Arial" w:hAnsi="Times New Roman" w:cs="Times New Roman"/>
          <w:spacing w:val="-2"/>
          <w:sz w:val="28"/>
          <w:szCs w:val="28"/>
        </w:rPr>
        <w:t>о</w:t>
      </w:r>
      <w:r w:rsidRPr="00604DB0">
        <w:rPr>
          <w:rFonts w:ascii="Times New Roman" w:eastAsia="Arial" w:hAnsi="Times New Roman" w:cs="Times New Roman"/>
          <w:spacing w:val="8"/>
          <w:sz w:val="28"/>
          <w:szCs w:val="28"/>
        </w:rPr>
        <w:t>м</w:t>
      </w:r>
      <w:r w:rsidRPr="00604DB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7B02A3" w:rsidRDefault="007B02A3"/>
    <w:sectPr w:rsidR="007B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B0" w:rsidRDefault="00604DB0" w:rsidP="00604DB0">
      <w:pPr>
        <w:spacing w:after="0" w:line="240" w:lineRule="auto"/>
      </w:pPr>
      <w:r>
        <w:separator/>
      </w:r>
    </w:p>
  </w:endnote>
  <w:endnote w:type="continuationSeparator" w:id="0">
    <w:p w:rsidR="00604DB0" w:rsidRDefault="00604DB0" w:rsidP="0060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B0" w:rsidRDefault="00604DB0" w:rsidP="00604DB0">
      <w:pPr>
        <w:spacing w:after="0" w:line="240" w:lineRule="auto"/>
      </w:pPr>
      <w:r>
        <w:separator/>
      </w:r>
    </w:p>
  </w:footnote>
  <w:footnote w:type="continuationSeparator" w:id="0">
    <w:p w:rsidR="00604DB0" w:rsidRDefault="00604DB0" w:rsidP="00604DB0">
      <w:pPr>
        <w:spacing w:after="0" w:line="240" w:lineRule="auto"/>
      </w:pPr>
      <w:r>
        <w:continuationSeparator/>
      </w:r>
    </w:p>
  </w:footnote>
  <w:footnote w:id="1">
    <w:p w:rsidR="00604DB0" w:rsidRPr="00DD5934" w:rsidRDefault="00604DB0" w:rsidP="00604D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9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условие не распространяется на лизинговые компании</w:t>
      </w:r>
    </w:p>
  </w:footnote>
  <w:footnote w:id="2">
    <w:p w:rsidR="00604DB0" w:rsidRPr="00DD5934" w:rsidRDefault="00604DB0" w:rsidP="00604D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9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Показатель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Чистый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долг/</w:t>
      </w:r>
      <w:r w:rsidRPr="00DD5934">
        <w:rPr>
          <w:rFonts w:ascii="Times New Roman" w:hAnsi="Times New Roman" w:cs="Times New Roman"/>
          <w:sz w:val="24"/>
          <w:szCs w:val="24"/>
        </w:rPr>
        <w:t>EBITDA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рассчитывается</w:t>
      </w:r>
      <w:r w:rsidRPr="00DD593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D593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следующей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формулой: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(долгосрочные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кредиты и </w:t>
      </w:r>
      <w:proofErr w:type="gramStart"/>
      <w:r w:rsidRPr="00DD5934">
        <w:rPr>
          <w:rFonts w:ascii="Times New Roman" w:hAnsi="Times New Roman" w:cs="Times New Roman"/>
          <w:sz w:val="24"/>
          <w:szCs w:val="24"/>
          <w:lang w:val="ru-RU"/>
        </w:rPr>
        <w:t>займы</w:t>
      </w:r>
      <w:proofErr w:type="gramEnd"/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 + краткосрочные кредиты и займы - денежные средства и денежные эквиваленты) / (прибыль до налогообложения без учета разовых (чрезвычайных) доходов и расходов за прошедшие 4 квартала + проценты к уплате за прошедшие 4 квартала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проценты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получению</w:t>
      </w:r>
      <w:r w:rsidRPr="00DD593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последние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D59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квартала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амортизация</w:t>
      </w:r>
      <w:r w:rsidRPr="00DD593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прошедшие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D593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квартала)</w:t>
      </w:r>
    </w:p>
  </w:footnote>
  <w:footnote w:id="3">
    <w:p w:rsidR="00604DB0" w:rsidRPr="00DD5934" w:rsidRDefault="00604DB0" w:rsidP="00604D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9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не распространяется на организации, включенные в Сводный реестр организаций </w:t>
      </w:r>
      <w:proofErr w:type="gramStart"/>
      <w:r w:rsidRPr="00DD5934">
        <w:rPr>
          <w:rFonts w:ascii="Times New Roman" w:hAnsi="Times New Roman" w:cs="Times New Roman"/>
          <w:sz w:val="24"/>
          <w:szCs w:val="24"/>
          <w:lang w:val="ru-RU"/>
        </w:rPr>
        <w:t>оборонно- промышленного</w:t>
      </w:r>
      <w:proofErr w:type="gramEnd"/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 (в том числе на дочерние общества таких организаций).</w:t>
      </w:r>
    </w:p>
  </w:footnote>
  <w:footnote w:id="4">
    <w:p w:rsidR="00604DB0" w:rsidRPr="00BC6FD7" w:rsidRDefault="00604DB0" w:rsidP="00604DB0">
      <w:pPr>
        <w:pStyle w:val="a3"/>
        <w:ind w:firstLine="709"/>
        <w:jc w:val="both"/>
        <w:rPr>
          <w:lang w:val="ru-RU"/>
        </w:rPr>
      </w:pPr>
      <w:r w:rsidRPr="00DD59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является обязательным при наступлении срока, установленного действующим законодательством для проведения обязательного аудита. До указанного срока в случае отсутствия аудиторского заключения за последний завершённый финансовый год представляется аудиторское заключение по бухгалтерской отчетности за предшествующий год (если обязательный аудит в предшествующем году был предусмотрен законодательством).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85B"/>
    <w:multiLevelType w:val="hybridMultilevel"/>
    <w:tmpl w:val="71068D00"/>
    <w:lvl w:ilvl="0" w:tplc="02827C00">
      <w:start w:val="1"/>
      <w:numFmt w:val="decimal"/>
      <w:lvlText w:val="%1)"/>
      <w:lvlJc w:val="left"/>
      <w:pPr>
        <w:ind w:left="120" w:hanging="424"/>
        <w:jc w:val="right"/>
      </w:pPr>
      <w:rPr>
        <w:rFonts w:hint="default"/>
        <w:spacing w:val="-3"/>
        <w:w w:val="100"/>
      </w:rPr>
    </w:lvl>
    <w:lvl w:ilvl="1" w:tplc="B1349C5C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Arial" w:hAnsi="Times New Roman" w:cs="Times New Roman" w:hint="default"/>
        <w:spacing w:val="-3"/>
        <w:w w:val="100"/>
        <w:sz w:val="28"/>
        <w:szCs w:val="24"/>
      </w:rPr>
    </w:lvl>
    <w:lvl w:ilvl="2" w:tplc="4E9C29B0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8189574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A1491B2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F6F4A62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D2AA7B9E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0074E1B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CFF43946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>
    <w:nsid w:val="70DB55EC"/>
    <w:multiLevelType w:val="hybridMultilevel"/>
    <w:tmpl w:val="EA58B120"/>
    <w:lvl w:ilvl="0" w:tplc="C30AF374">
      <w:numFmt w:val="bullet"/>
      <w:lvlText w:val="•"/>
      <w:lvlJc w:val="left"/>
      <w:pPr>
        <w:ind w:left="120" w:hanging="424"/>
      </w:pPr>
      <w:rPr>
        <w:rFonts w:ascii="Arial" w:eastAsia="Arial" w:hAnsi="Arial" w:cs="Arial" w:hint="default"/>
        <w:spacing w:val="-26"/>
        <w:w w:val="100"/>
        <w:sz w:val="20"/>
        <w:szCs w:val="20"/>
      </w:rPr>
    </w:lvl>
    <w:lvl w:ilvl="1" w:tplc="7398FEF0">
      <w:numFmt w:val="bullet"/>
      <w:lvlText w:val="•"/>
      <w:lvlJc w:val="left"/>
      <w:pPr>
        <w:ind w:left="1096" w:hanging="424"/>
      </w:pPr>
      <w:rPr>
        <w:rFonts w:hint="default"/>
      </w:rPr>
    </w:lvl>
    <w:lvl w:ilvl="2" w:tplc="DC56809C">
      <w:numFmt w:val="bullet"/>
      <w:lvlText w:val="•"/>
      <w:lvlJc w:val="left"/>
      <w:pPr>
        <w:ind w:left="2073" w:hanging="424"/>
      </w:pPr>
      <w:rPr>
        <w:rFonts w:hint="default"/>
      </w:rPr>
    </w:lvl>
    <w:lvl w:ilvl="3" w:tplc="75467FF4">
      <w:numFmt w:val="bullet"/>
      <w:lvlText w:val="•"/>
      <w:lvlJc w:val="left"/>
      <w:pPr>
        <w:ind w:left="3049" w:hanging="424"/>
      </w:pPr>
      <w:rPr>
        <w:rFonts w:hint="default"/>
      </w:rPr>
    </w:lvl>
    <w:lvl w:ilvl="4" w:tplc="3884791C">
      <w:numFmt w:val="bullet"/>
      <w:lvlText w:val="•"/>
      <w:lvlJc w:val="left"/>
      <w:pPr>
        <w:ind w:left="4026" w:hanging="424"/>
      </w:pPr>
      <w:rPr>
        <w:rFonts w:hint="default"/>
      </w:rPr>
    </w:lvl>
    <w:lvl w:ilvl="5" w:tplc="B2B0A1E0">
      <w:numFmt w:val="bullet"/>
      <w:lvlText w:val="•"/>
      <w:lvlJc w:val="left"/>
      <w:pPr>
        <w:ind w:left="5003" w:hanging="424"/>
      </w:pPr>
      <w:rPr>
        <w:rFonts w:hint="default"/>
      </w:rPr>
    </w:lvl>
    <w:lvl w:ilvl="6" w:tplc="AC6EA1E6">
      <w:numFmt w:val="bullet"/>
      <w:lvlText w:val="•"/>
      <w:lvlJc w:val="left"/>
      <w:pPr>
        <w:ind w:left="5979" w:hanging="424"/>
      </w:pPr>
      <w:rPr>
        <w:rFonts w:hint="default"/>
      </w:rPr>
    </w:lvl>
    <w:lvl w:ilvl="7" w:tplc="70B8DEE8">
      <w:numFmt w:val="bullet"/>
      <w:lvlText w:val="•"/>
      <w:lvlJc w:val="left"/>
      <w:pPr>
        <w:ind w:left="6956" w:hanging="424"/>
      </w:pPr>
      <w:rPr>
        <w:rFonts w:hint="default"/>
      </w:rPr>
    </w:lvl>
    <w:lvl w:ilvl="8" w:tplc="076C266C">
      <w:numFmt w:val="bullet"/>
      <w:lvlText w:val="•"/>
      <w:lvlJc w:val="left"/>
      <w:pPr>
        <w:ind w:left="7932" w:hanging="424"/>
      </w:pPr>
      <w:rPr>
        <w:rFonts w:hint="default"/>
      </w:rPr>
    </w:lvl>
  </w:abstractNum>
  <w:abstractNum w:abstractNumId="2">
    <w:nsid w:val="793379ED"/>
    <w:multiLevelType w:val="hybridMultilevel"/>
    <w:tmpl w:val="C932F878"/>
    <w:lvl w:ilvl="0" w:tplc="AB264988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Arial" w:hAnsi="Times New Roman" w:cs="Times New Roman" w:hint="default"/>
        <w:spacing w:val="-4"/>
        <w:w w:val="100"/>
        <w:sz w:val="28"/>
        <w:szCs w:val="28"/>
      </w:rPr>
    </w:lvl>
    <w:lvl w:ilvl="1" w:tplc="86DE98C6"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85D846AA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663803C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D802466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D438290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43EABE28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942E56EA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DF741654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5"/>
    <w:rsid w:val="00604DB0"/>
    <w:rsid w:val="006434A5"/>
    <w:rsid w:val="007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D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04DB0"/>
    <w:rPr>
      <w:rFonts w:ascii="Arial" w:eastAsia="Arial" w:hAnsi="Arial" w:cs="Arial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604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D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04DB0"/>
    <w:rPr>
      <w:rFonts w:ascii="Arial" w:eastAsia="Arial" w:hAnsi="Arial" w:cs="Arial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604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Панченко</dc:creator>
  <cp:keywords/>
  <dc:description/>
  <cp:lastModifiedBy>Андрей А. Панченко</cp:lastModifiedBy>
  <cp:revision>2</cp:revision>
  <dcterms:created xsi:type="dcterms:W3CDTF">2020-07-13T08:23:00Z</dcterms:created>
  <dcterms:modified xsi:type="dcterms:W3CDTF">2020-07-13T08:24:00Z</dcterms:modified>
</cp:coreProperties>
</file>